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FF7B9" w14:textId="2828C0EC" w:rsidR="6303FBDD" w:rsidRDefault="6303FBDD" w:rsidP="34DBE119">
      <w:pPr>
        <w:jc w:val="center"/>
        <w:rPr>
          <w:rFonts w:ascii="Aptos" w:eastAsia="Aptos" w:hAnsi="Aptos" w:cs="Aptos"/>
          <w:b/>
          <w:bCs/>
          <w:sz w:val="26"/>
          <w:szCs w:val="26"/>
        </w:rPr>
      </w:pPr>
      <w:r w:rsidRPr="34DBE119">
        <w:rPr>
          <w:rFonts w:ascii="Aptos" w:eastAsia="Aptos" w:hAnsi="Aptos" w:cs="Aptos"/>
          <w:b/>
          <w:bCs/>
          <w:sz w:val="26"/>
          <w:szCs w:val="26"/>
        </w:rPr>
        <w:t>La miopía no toma vacaciones: una misión invisible en el regreso a clases</w:t>
      </w:r>
    </w:p>
    <w:p w14:paraId="6E31402A" w14:textId="48FBB1B7" w:rsidR="6303FBDD" w:rsidRDefault="6303FBDD" w:rsidP="34DBE119">
      <w:pPr>
        <w:jc w:val="center"/>
        <w:rPr>
          <w:rFonts w:ascii="Aptos" w:eastAsia="Aptos" w:hAnsi="Aptos" w:cs="Aptos"/>
          <w:i/>
          <w:iCs/>
          <w:color w:val="747474" w:themeColor="background2" w:themeShade="80"/>
        </w:rPr>
      </w:pPr>
      <w:r w:rsidRPr="34DBE119">
        <w:rPr>
          <w:rFonts w:ascii="Aptos" w:eastAsia="Aptos" w:hAnsi="Aptos" w:cs="Aptos"/>
          <w:i/>
          <w:iCs/>
          <w:color w:val="747474" w:themeColor="background2" w:themeShade="80"/>
        </w:rPr>
        <w:t>El nuevo ciclo escolar comienza con una urgencia silenciosa: proteger la salud visual de niñas y niños</w:t>
      </w:r>
    </w:p>
    <w:p w14:paraId="47D37C1F" w14:textId="3E7FC948" w:rsidR="6303FBDD" w:rsidRDefault="6303FBDD" w:rsidP="34DBE119">
      <w:pPr>
        <w:spacing w:before="240" w:after="240"/>
      </w:pPr>
      <w:r w:rsidRPr="34DBE119">
        <w:rPr>
          <w:rFonts w:ascii="Aptos" w:eastAsia="Aptos" w:hAnsi="Aptos" w:cs="Aptos"/>
        </w:rPr>
        <w:t>Cada agosto, los pasillos escolares se llenan de mochilas nuevas, libros forrados y emociones por el reencuentro. Pero hay algo que no se ve a simple vista y también regresa con la rutina: el esfuerzo visual al que se enfrentan los ojos infantiles en un mundo dominado por pantallas, tanto dentro como fuera del aula.</w:t>
      </w:r>
    </w:p>
    <w:p w14:paraId="34860C56" w14:textId="2838E3C9" w:rsidR="6303FBDD" w:rsidRDefault="6303FBDD" w:rsidP="34DBE119">
      <w:pPr>
        <w:spacing w:before="240" w:after="240"/>
      </w:pPr>
      <w:r w:rsidRPr="34DBE119">
        <w:rPr>
          <w:rFonts w:ascii="Aptos" w:eastAsia="Aptos" w:hAnsi="Aptos" w:cs="Aptos"/>
        </w:rPr>
        <w:t xml:space="preserve">Casos como el de Mariana, madre de dos pequeños, se repiten con frecuencia: su hija de 7 años entrecerraba los ojos al leer en su tableta. Tras una revisión, se confirmó el inicio de </w:t>
      </w:r>
      <w:r w:rsidRPr="34DBE119">
        <w:rPr>
          <w:rFonts w:ascii="Aptos" w:eastAsia="Aptos" w:hAnsi="Aptos" w:cs="Aptos"/>
          <w:b/>
          <w:bCs/>
        </w:rPr>
        <w:t>miopía</w:t>
      </w:r>
      <w:r w:rsidRPr="34DBE119">
        <w:rPr>
          <w:rFonts w:ascii="Aptos" w:eastAsia="Aptos" w:hAnsi="Aptos" w:cs="Aptos"/>
        </w:rPr>
        <w:t xml:space="preserve">. El diagnóstico vino con una advertencia: </w:t>
      </w:r>
      <w:r w:rsidRPr="34DBE119">
        <w:rPr>
          <w:rFonts w:ascii="Aptos" w:eastAsia="Aptos" w:hAnsi="Aptos" w:cs="Aptos"/>
          <w:i/>
          <w:iCs/>
        </w:rPr>
        <w:t>“la miopía puede avanzar rápidamente si no se detecta y trata a tiempo”.</w:t>
      </w:r>
    </w:p>
    <w:p w14:paraId="35918EE8" w14:textId="35F46D3C" w:rsidR="6303FBDD" w:rsidRDefault="6303FBDD" w:rsidP="34DBE119">
      <w:pPr>
        <w:spacing w:before="240" w:after="240"/>
      </w:pPr>
      <w:r w:rsidRPr="34DBE119">
        <w:rPr>
          <w:rFonts w:ascii="Aptos" w:eastAsia="Aptos" w:hAnsi="Aptos" w:cs="Aptos"/>
        </w:rPr>
        <w:t xml:space="preserve">No es un caso aislado. </w:t>
      </w:r>
      <w:r w:rsidRPr="34DBE119">
        <w:rPr>
          <w:rFonts w:ascii="Aptos" w:eastAsia="Aptos" w:hAnsi="Aptos" w:cs="Aptos"/>
          <w:b/>
          <w:bCs/>
        </w:rPr>
        <w:t>La OMS estima que para 2050, 1 de cada 2 personas en el mundo será miope</w:t>
      </w:r>
      <w:r w:rsidRPr="34DBE119">
        <w:rPr>
          <w:rFonts w:ascii="Aptos" w:eastAsia="Aptos" w:hAnsi="Aptos" w:cs="Aptos"/>
        </w:rPr>
        <w:t>. La infancia es una etapa crítica: el desarrollo visual y los hábitos digitales están directamente relacionados con la aparición temprana y progresión de esta condición.</w:t>
      </w:r>
    </w:p>
    <w:p w14:paraId="6B88C965" w14:textId="2344E9C6" w:rsidR="6303FBDD" w:rsidRDefault="6303FBDD" w:rsidP="34DBE119">
      <w:pPr>
        <w:spacing w:before="240" w:after="240"/>
      </w:pPr>
      <w:r w:rsidRPr="34DBE119">
        <w:rPr>
          <w:rFonts w:ascii="Aptos" w:eastAsia="Aptos" w:hAnsi="Aptos" w:cs="Aptos"/>
        </w:rPr>
        <w:t xml:space="preserve">Hoy existen </w:t>
      </w:r>
      <w:r w:rsidRPr="34DBE119">
        <w:rPr>
          <w:rFonts w:ascii="Aptos" w:eastAsia="Aptos" w:hAnsi="Aptos" w:cs="Aptos"/>
          <w:b/>
          <w:bCs/>
        </w:rPr>
        <w:t>soluciones ópticas especializadas</w:t>
      </w:r>
      <w:r w:rsidRPr="34DBE119">
        <w:rPr>
          <w:rFonts w:ascii="Aptos" w:eastAsia="Aptos" w:hAnsi="Aptos" w:cs="Aptos"/>
        </w:rPr>
        <w:t xml:space="preserve"> que no solo corrigen, sino que ayudan a proteger la visión desde edades tempranas:</w:t>
      </w:r>
    </w:p>
    <w:p w14:paraId="35E76FDB" w14:textId="51DC7767" w:rsidR="00A3246D" w:rsidRDefault="6303FBDD" w:rsidP="34DBE119">
      <w:pPr>
        <w:pStyle w:val="Prrafodelista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proofErr w:type="spellStart"/>
      <w:r w:rsidRPr="00A3246D">
        <w:rPr>
          <w:rFonts w:ascii="Aptos" w:eastAsia="Aptos" w:hAnsi="Aptos" w:cs="Aptos"/>
          <w:b/>
          <w:bCs/>
        </w:rPr>
        <w:t>Stellest</w:t>
      </w:r>
      <w:proofErr w:type="spellEnd"/>
      <w:r w:rsidRPr="00A3246D">
        <w:rPr>
          <w:rFonts w:ascii="Aptos" w:eastAsia="Aptos" w:hAnsi="Aptos" w:cs="Aptos"/>
          <w:b/>
          <w:bCs/>
        </w:rPr>
        <w:t>®</w:t>
      </w:r>
      <w:r w:rsidRPr="00A3246D">
        <w:rPr>
          <w:rFonts w:ascii="Aptos" w:eastAsia="Aptos" w:hAnsi="Aptos" w:cs="Aptos"/>
        </w:rPr>
        <w:t xml:space="preserve">: tecnología diseñada para </w:t>
      </w:r>
      <w:r w:rsidR="00A3246D" w:rsidRPr="00A3246D">
        <w:rPr>
          <w:rFonts w:ascii="Aptos" w:eastAsia="Aptos" w:hAnsi="Aptos" w:cs="Aptos"/>
        </w:rPr>
        <w:t>disminuir</w:t>
      </w:r>
      <w:r w:rsidRPr="00A3246D">
        <w:rPr>
          <w:rFonts w:ascii="Aptos" w:eastAsia="Aptos" w:hAnsi="Aptos" w:cs="Aptos"/>
        </w:rPr>
        <w:t xml:space="preserve"> la progresión de la miopía </w:t>
      </w:r>
      <w:r w:rsidR="00A3246D" w:rsidRPr="00A3246D">
        <w:rPr>
          <w:rFonts w:ascii="Aptos" w:eastAsia="Aptos" w:hAnsi="Aptos" w:cs="Aptos"/>
        </w:rPr>
        <w:t>en un 67% de media, en comparación con lentes monofocales, cuando se llevan 12 horas al día</w:t>
      </w:r>
      <w:r w:rsidR="00A3246D">
        <w:rPr>
          <w:rFonts w:ascii="Aptos" w:eastAsia="Aptos" w:hAnsi="Aptos" w:cs="Aptos"/>
        </w:rPr>
        <w:t>.</w:t>
      </w:r>
    </w:p>
    <w:p w14:paraId="2E97B284" w14:textId="6E0A3A2B" w:rsidR="6303FBDD" w:rsidRPr="00A3246D" w:rsidRDefault="6303FBDD" w:rsidP="34DBE119">
      <w:pPr>
        <w:pStyle w:val="Prrafodelista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proofErr w:type="spellStart"/>
      <w:r w:rsidRPr="00A3246D">
        <w:rPr>
          <w:rFonts w:ascii="Aptos" w:eastAsia="Aptos" w:hAnsi="Aptos" w:cs="Aptos"/>
          <w:b/>
          <w:bCs/>
        </w:rPr>
        <w:t>Eyezen</w:t>
      </w:r>
      <w:proofErr w:type="spellEnd"/>
      <w:r w:rsidRPr="00A3246D">
        <w:rPr>
          <w:rFonts w:ascii="Aptos" w:eastAsia="Aptos" w:hAnsi="Aptos" w:cs="Aptos"/>
          <w:b/>
          <w:bCs/>
        </w:rPr>
        <w:t xml:space="preserve">® </w:t>
      </w:r>
      <w:proofErr w:type="spellStart"/>
      <w:r w:rsidRPr="00A3246D">
        <w:rPr>
          <w:rFonts w:ascii="Aptos" w:eastAsia="Aptos" w:hAnsi="Aptos" w:cs="Aptos"/>
          <w:b/>
          <w:bCs/>
        </w:rPr>
        <w:t>Kids</w:t>
      </w:r>
      <w:proofErr w:type="spellEnd"/>
      <w:r w:rsidRPr="00A3246D">
        <w:rPr>
          <w:rFonts w:ascii="Aptos" w:eastAsia="Aptos" w:hAnsi="Aptos" w:cs="Aptos"/>
        </w:rPr>
        <w:t xml:space="preserve">: lentes que reducen el estrés </w:t>
      </w:r>
      <w:r w:rsidR="00A3246D">
        <w:rPr>
          <w:rFonts w:ascii="Aptos" w:eastAsia="Aptos" w:hAnsi="Aptos" w:cs="Aptos"/>
        </w:rPr>
        <w:t xml:space="preserve">y la fatiga </w:t>
      </w:r>
      <w:r w:rsidRPr="00A3246D">
        <w:rPr>
          <w:rFonts w:ascii="Aptos" w:eastAsia="Aptos" w:hAnsi="Aptos" w:cs="Aptos"/>
        </w:rPr>
        <w:t>visual digital asociad</w:t>
      </w:r>
      <w:r w:rsidR="00A3246D">
        <w:rPr>
          <w:rFonts w:ascii="Aptos" w:eastAsia="Aptos" w:hAnsi="Aptos" w:cs="Aptos"/>
        </w:rPr>
        <w:t>a</w:t>
      </w:r>
      <w:r w:rsidRPr="00A3246D">
        <w:rPr>
          <w:rFonts w:ascii="Aptos" w:eastAsia="Aptos" w:hAnsi="Aptos" w:cs="Aptos"/>
        </w:rPr>
        <w:t xml:space="preserve"> al uso prolongado de pantallas</w:t>
      </w:r>
      <w:r w:rsidR="00A3246D">
        <w:rPr>
          <w:rFonts w:ascii="Aptos" w:eastAsia="Aptos" w:hAnsi="Aptos" w:cs="Aptos"/>
        </w:rPr>
        <w:t xml:space="preserve"> y dispositivos digitales.</w:t>
      </w:r>
      <w:bookmarkStart w:id="0" w:name="_GoBack"/>
      <w:bookmarkEnd w:id="0"/>
    </w:p>
    <w:p w14:paraId="757D8059" w14:textId="419B7CC2" w:rsidR="6303FBDD" w:rsidRDefault="6303FBDD" w:rsidP="34DBE119">
      <w:pPr>
        <w:spacing w:before="240" w:after="240"/>
      </w:pPr>
      <w:r w:rsidRPr="34DBE119">
        <w:rPr>
          <w:rFonts w:ascii="Aptos" w:eastAsia="Aptos" w:hAnsi="Aptos" w:cs="Aptos"/>
        </w:rPr>
        <w:t>Ambas alternativas están pensadas para integrarse fácilmente al estilo de vida escolar, con diseños cómodos y funcionales.</w:t>
      </w:r>
    </w:p>
    <w:p w14:paraId="33809978" w14:textId="21F0874C" w:rsidR="6303FBDD" w:rsidRDefault="6303FBDD" w:rsidP="34DBE119">
      <w:pPr>
        <w:pStyle w:val="Ttulo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34DBE119">
        <w:rPr>
          <w:rFonts w:ascii="Aptos" w:eastAsia="Aptos" w:hAnsi="Aptos" w:cs="Aptos"/>
          <w:b/>
          <w:bCs/>
          <w:color w:val="auto"/>
          <w:sz w:val="24"/>
          <w:szCs w:val="24"/>
        </w:rPr>
        <w:t>Ver bien es parte de aprender mejor</w:t>
      </w:r>
    </w:p>
    <w:p w14:paraId="67904794" w14:textId="6841A5C1" w:rsidR="6303FBDD" w:rsidRDefault="6303FBDD" w:rsidP="34DBE119">
      <w:pPr>
        <w:spacing w:before="240" w:after="240"/>
      </w:pPr>
      <w:r w:rsidRPr="34DBE119">
        <w:rPr>
          <w:rFonts w:ascii="Aptos" w:eastAsia="Aptos" w:hAnsi="Aptos" w:cs="Aptos"/>
        </w:rPr>
        <w:t>La visión influye directamente en la concentración, la autoestima y el rendimiento académico. Cuidar los ojos debe formar parte del “</w:t>
      </w:r>
      <w:proofErr w:type="spellStart"/>
      <w:r w:rsidRPr="34DBE119">
        <w:rPr>
          <w:rFonts w:ascii="Aptos" w:eastAsia="Aptos" w:hAnsi="Aptos" w:cs="Aptos"/>
        </w:rPr>
        <w:t>checklist</w:t>
      </w:r>
      <w:proofErr w:type="spellEnd"/>
      <w:r w:rsidRPr="34DBE119">
        <w:rPr>
          <w:rFonts w:ascii="Aptos" w:eastAsia="Aptos" w:hAnsi="Aptos" w:cs="Aptos"/>
        </w:rPr>
        <w:t xml:space="preserve"> escolar”, al igual que los útiles, el uniforme o los zapatos. Una revisión oftalmológica puede marcar una diferencia clave en la experiencia escolar de cada niño o niña.</w:t>
      </w:r>
    </w:p>
    <w:p w14:paraId="42C47483" w14:textId="3CA64EF1" w:rsidR="6303FBDD" w:rsidRDefault="6303FBDD" w:rsidP="34DBE119">
      <w:r w:rsidRPr="34DBE119">
        <w:rPr>
          <w:rFonts w:ascii="Aptos" w:eastAsia="Aptos" w:hAnsi="Aptos" w:cs="Aptos"/>
          <w:b/>
          <w:bCs/>
        </w:rPr>
        <w:t>En este regreso a clases, ver bien también es aprender mejor.</w:t>
      </w:r>
    </w:p>
    <w:p w14:paraId="5E408681" w14:textId="3286A56D" w:rsidR="34DBE119" w:rsidRDefault="34DBE119" w:rsidP="34DBE119">
      <w:pPr>
        <w:spacing w:after="220" w:line="276" w:lineRule="auto"/>
        <w:jc w:val="both"/>
        <w:rPr>
          <w:rFonts w:ascii="Aptos" w:eastAsia="Aptos" w:hAnsi="Aptos" w:cs="Aptos"/>
          <w:b/>
          <w:bCs/>
          <w:color w:val="000000" w:themeColor="text1"/>
        </w:rPr>
      </w:pPr>
    </w:p>
    <w:p w14:paraId="2FB8F3F2" w14:textId="3DE7A57F" w:rsidR="5F4E1EA9" w:rsidRDefault="5F4E1EA9" w:rsidP="34DBE119">
      <w:pPr>
        <w:spacing w:after="220" w:line="276" w:lineRule="auto"/>
        <w:jc w:val="both"/>
        <w:rPr>
          <w:rFonts w:ascii="Aptos" w:eastAsia="Aptos" w:hAnsi="Aptos" w:cs="Aptos"/>
          <w:color w:val="000000" w:themeColor="text1"/>
        </w:rPr>
      </w:pPr>
      <w:r w:rsidRPr="34DBE119">
        <w:rPr>
          <w:rFonts w:ascii="Aptos" w:eastAsia="Aptos" w:hAnsi="Aptos" w:cs="Aptos"/>
          <w:b/>
          <w:bCs/>
          <w:color w:val="000000" w:themeColor="text1"/>
        </w:rPr>
        <w:t>Más información en:</w:t>
      </w:r>
    </w:p>
    <w:p w14:paraId="4A347BD4" w14:textId="69FB27A6" w:rsidR="5F4E1EA9" w:rsidRDefault="5F4E1EA9" w:rsidP="34DBE119">
      <w:pPr>
        <w:spacing w:after="220" w:line="276" w:lineRule="auto"/>
        <w:jc w:val="both"/>
        <w:rPr>
          <w:rFonts w:ascii="Aptos" w:eastAsia="Aptos" w:hAnsi="Aptos" w:cs="Aptos"/>
          <w:color w:val="000000" w:themeColor="text1"/>
        </w:rPr>
      </w:pPr>
      <w:r w:rsidRPr="34DBE119">
        <w:rPr>
          <w:rFonts w:ascii="Aptos" w:eastAsia="Aptos" w:hAnsi="Aptos" w:cs="Aptos"/>
          <w:color w:val="000000" w:themeColor="text1"/>
        </w:rPr>
        <w:t xml:space="preserve">🔗 </w:t>
      </w:r>
      <w:hyperlink r:id="rId8">
        <w:r w:rsidRPr="34DBE119">
          <w:rPr>
            <w:rStyle w:val="Hipervnculo"/>
            <w:rFonts w:ascii="Aptos" w:eastAsia="Aptos" w:hAnsi="Aptos" w:cs="Aptos"/>
          </w:rPr>
          <w:t>www.essilor.com/mx-es/productos/eyezen/eyezen-kids/</w:t>
        </w:r>
      </w:hyperlink>
      <w:r w:rsidRPr="34DBE119">
        <w:rPr>
          <w:rFonts w:ascii="Aptos" w:eastAsia="Aptos" w:hAnsi="Aptos" w:cs="Aptos"/>
          <w:color w:val="000000" w:themeColor="text1"/>
        </w:rPr>
        <w:t xml:space="preserve"> </w:t>
      </w:r>
    </w:p>
    <w:p w14:paraId="5FB98B10" w14:textId="69E87037" w:rsidR="5F4E1EA9" w:rsidRDefault="5F4E1EA9" w:rsidP="34DBE119">
      <w:pPr>
        <w:spacing w:after="220" w:line="276" w:lineRule="auto"/>
        <w:jc w:val="both"/>
        <w:rPr>
          <w:rFonts w:ascii="Aptos" w:eastAsia="Aptos" w:hAnsi="Aptos" w:cs="Aptos"/>
          <w:color w:val="000000" w:themeColor="text1"/>
        </w:rPr>
      </w:pPr>
      <w:r w:rsidRPr="34DBE119">
        <w:rPr>
          <w:rFonts w:ascii="Aptos" w:eastAsia="Aptos" w:hAnsi="Aptos" w:cs="Aptos"/>
          <w:color w:val="000000" w:themeColor="text1"/>
        </w:rPr>
        <w:lastRenderedPageBreak/>
        <w:t xml:space="preserve">🔗 </w:t>
      </w:r>
      <w:hyperlink r:id="rId9">
        <w:r w:rsidRPr="34DBE119">
          <w:rPr>
            <w:rStyle w:val="Hipervnculo"/>
            <w:rFonts w:ascii="Aptos" w:eastAsia="Aptos" w:hAnsi="Aptos" w:cs="Aptos"/>
          </w:rPr>
          <w:t>https://www.essilor.com/mx-es/productos/stellest/</w:t>
        </w:r>
      </w:hyperlink>
    </w:p>
    <w:p w14:paraId="3864304E" w14:textId="7D0A94BF" w:rsidR="5F4E1EA9" w:rsidRDefault="00A3246D" w:rsidP="34DBE119">
      <w:pPr>
        <w:spacing w:after="220"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10">
        <w:r w:rsidR="5F4E1EA9" w:rsidRPr="00A3246D">
          <w:rPr>
            <w:rStyle w:val="Hipervnculo"/>
            <w:rFonts w:ascii="Aptos" w:eastAsia="Aptos" w:hAnsi="Aptos" w:cs="Aptos"/>
            <w:b/>
            <w:bCs/>
            <w:lang w:val="es-MX"/>
          </w:rPr>
          <w:t xml:space="preserve">Acerca de </w:t>
        </w:r>
        <w:proofErr w:type="spellStart"/>
        <w:r w:rsidR="5F4E1EA9" w:rsidRPr="00A3246D">
          <w:rPr>
            <w:rStyle w:val="Hipervnculo"/>
            <w:rFonts w:ascii="Aptos" w:eastAsia="Aptos" w:hAnsi="Aptos" w:cs="Aptos"/>
            <w:b/>
            <w:bCs/>
            <w:lang w:val="es-MX"/>
          </w:rPr>
          <w:t>EssilorLuxottica</w:t>
        </w:r>
        <w:proofErr w:type="spellEnd"/>
      </w:hyperlink>
    </w:p>
    <w:p w14:paraId="3D04CE51" w14:textId="04649150" w:rsidR="5F4E1EA9" w:rsidRDefault="5F4E1EA9" w:rsidP="34DBE119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proofErr w:type="spellStart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EssilorLuxottica</w:t>
      </w:r>
      <w:proofErr w:type="spellEnd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es líder mundial en el diseño, fabricación y distribución de lentes oftálmicas, monturas y gafas de sol. Formada en 2018, su misión es ayudar a las personas de todo el mundo a ver más y ser más, atendiendo a sus necesidades de visión en evolución y a sus aspiraciones de estilo personal. La compañía reúne la experiencia complementaria de dos pioneros de la industria, uno en tecnología avanzada de lentes y el otro en la artesanía de gafas icónicas, para establecer nuevos estándares de la industria para el cuidado de la visión y la experiencia del consumidor en torno a ella. Marcas de gafas influyentes como Ray-</w:t>
      </w:r>
      <w:proofErr w:type="spellStart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Ban</w:t>
      </w:r>
      <w:proofErr w:type="spellEnd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y </w:t>
      </w:r>
      <w:proofErr w:type="spellStart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Oakley</w:t>
      </w:r>
      <w:proofErr w:type="spellEnd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, marcas de tecnología de lentes como </w:t>
      </w:r>
      <w:proofErr w:type="spellStart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Varilux</w:t>
      </w:r>
      <w:proofErr w:type="spellEnd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y </w:t>
      </w:r>
      <w:proofErr w:type="spellStart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Transitions</w:t>
      </w:r>
      <w:proofErr w:type="spellEnd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, y marcas de venta al por menor de categoría mundial como </w:t>
      </w:r>
      <w:proofErr w:type="spellStart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Sunglass</w:t>
      </w:r>
      <w:proofErr w:type="spellEnd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Hut, </w:t>
      </w:r>
      <w:proofErr w:type="spellStart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LensCrafters</w:t>
      </w:r>
      <w:proofErr w:type="spellEnd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, </w:t>
      </w:r>
      <w:proofErr w:type="spellStart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Salmoiraghi</w:t>
      </w:r>
      <w:proofErr w:type="spellEnd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&amp; </w:t>
      </w:r>
      <w:proofErr w:type="spellStart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Viganò</w:t>
      </w:r>
      <w:proofErr w:type="spellEnd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y </w:t>
      </w:r>
      <w:proofErr w:type="spellStart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GrandVision</w:t>
      </w:r>
      <w:proofErr w:type="spellEnd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forman parte de la familia </w:t>
      </w:r>
      <w:proofErr w:type="spellStart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EssilorLuxottica</w:t>
      </w:r>
      <w:proofErr w:type="spellEnd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. </w:t>
      </w:r>
      <w:proofErr w:type="spellStart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EssilorLuxottica</w:t>
      </w:r>
      <w:proofErr w:type="spellEnd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tiene aproximadamente 180.000 empleados. En 2021, la empresa generó unos ingresos consolidados pro forma de 21.500 millones de euros. La acción de </w:t>
      </w:r>
      <w:proofErr w:type="spellStart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EssilorLuxottica</w:t>
      </w:r>
      <w:proofErr w:type="spellEnd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cotiza en el mercado Euronext de París y está incluida en los índices Euro Stoxx 50 y CAC 40. Códigos y símbolos: ISIN: FR0000121667; Reuters: ESLX.PA; Bloomberg: </w:t>
      </w:r>
      <w:proofErr w:type="gramStart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EL:FP</w:t>
      </w:r>
      <w:proofErr w:type="gramEnd"/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. Para más información, visite </w:t>
      </w:r>
      <w:hyperlink r:id="rId11">
        <w:r w:rsidRPr="00A3246D">
          <w:rPr>
            <w:rStyle w:val="Hipervnculo"/>
            <w:rFonts w:ascii="Aptos" w:eastAsia="Aptos" w:hAnsi="Aptos" w:cs="Aptos"/>
            <w:lang w:val="es-MX"/>
          </w:rPr>
          <w:t>www.essilorluxottica.com</w:t>
        </w:r>
      </w:hyperlink>
      <w:r w:rsidRPr="00A3246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.</w:t>
      </w:r>
    </w:p>
    <w:p w14:paraId="64301229" w14:textId="4DCCE79A" w:rsidR="34DBE119" w:rsidRDefault="34DBE119" w:rsidP="34DBE119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12"/>
          <w:szCs w:val="12"/>
        </w:rPr>
      </w:pPr>
    </w:p>
    <w:p w14:paraId="6A820067" w14:textId="7BB3B770" w:rsidR="5F4E1EA9" w:rsidRDefault="5F4E1EA9" w:rsidP="34DBE119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3246D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MX"/>
        </w:rPr>
        <w:t>Contacto para medios</w:t>
      </w:r>
    </w:p>
    <w:p w14:paraId="476FA0CD" w14:textId="3C06D4FD" w:rsidR="5F4E1EA9" w:rsidRDefault="5F4E1EA9" w:rsidP="34DBE119">
      <w:pPr>
        <w:shd w:val="clear" w:color="auto" w:fill="FFFFFF" w:themeFill="background1"/>
        <w:spacing w:line="276" w:lineRule="auto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A3246D">
        <w:rPr>
          <w:rFonts w:ascii="Arial" w:eastAsia="Arial" w:hAnsi="Arial" w:cs="Arial"/>
          <w:color w:val="222222"/>
          <w:sz w:val="22"/>
          <w:szCs w:val="22"/>
          <w:lang w:val="es-MX"/>
        </w:rPr>
        <w:t>Lilia Hernández</w:t>
      </w:r>
    </w:p>
    <w:p w14:paraId="554571C5" w14:textId="782F67CA" w:rsidR="5F4E1EA9" w:rsidRPr="00A3246D" w:rsidRDefault="5F4E1EA9" w:rsidP="34DBE119">
      <w:pPr>
        <w:shd w:val="clear" w:color="auto" w:fill="FFFFFF" w:themeFill="background1"/>
        <w:spacing w:line="276" w:lineRule="auto"/>
        <w:jc w:val="both"/>
        <w:rPr>
          <w:rFonts w:ascii="Arial" w:eastAsia="Arial" w:hAnsi="Arial" w:cs="Arial"/>
          <w:color w:val="222222"/>
          <w:sz w:val="22"/>
          <w:szCs w:val="22"/>
          <w:lang w:val="en-GB"/>
        </w:rPr>
      </w:pPr>
      <w:r w:rsidRPr="34DBE119">
        <w:rPr>
          <w:rFonts w:ascii="Arial" w:eastAsia="Arial" w:hAnsi="Arial" w:cs="Arial"/>
          <w:color w:val="222222"/>
          <w:sz w:val="22"/>
          <w:szCs w:val="22"/>
          <w:lang w:val="en"/>
        </w:rPr>
        <w:t>Account Executive</w:t>
      </w:r>
    </w:p>
    <w:p w14:paraId="57DE1050" w14:textId="7FC78528" w:rsidR="5F4E1EA9" w:rsidRPr="00A3246D" w:rsidRDefault="00A3246D" w:rsidP="34DBE119">
      <w:pPr>
        <w:shd w:val="clear" w:color="auto" w:fill="FFFFFF" w:themeFill="background1"/>
        <w:spacing w:line="276" w:lineRule="auto"/>
        <w:jc w:val="both"/>
        <w:rPr>
          <w:rFonts w:ascii="Aptos" w:eastAsia="Aptos" w:hAnsi="Aptos" w:cs="Aptos"/>
          <w:color w:val="000000" w:themeColor="text1"/>
          <w:lang w:val="en-GB"/>
        </w:rPr>
      </w:pPr>
      <w:hyperlink r:id="rId12">
        <w:r w:rsidR="5F4E1EA9" w:rsidRPr="34DBE119">
          <w:rPr>
            <w:rStyle w:val="Hipervnculo"/>
            <w:rFonts w:ascii="Aptos" w:eastAsia="Aptos" w:hAnsi="Aptos" w:cs="Aptos"/>
            <w:lang w:val="en"/>
          </w:rPr>
          <w:t>lilia.hernandez@another.co</w:t>
        </w:r>
      </w:hyperlink>
    </w:p>
    <w:p w14:paraId="2B3C0737" w14:textId="4C09E710" w:rsidR="34DBE119" w:rsidRPr="00A3246D" w:rsidRDefault="34DBE119" w:rsidP="34DBE119">
      <w:pPr>
        <w:shd w:val="clear" w:color="auto" w:fill="FFFFFF" w:themeFill="background1"/>
        <w:spacing w:line="276" w:lineRule="auto"/>
        <w:jc w:val="both"/>
        <w:rPr>
          <w:rFonts w:ascii="Aptos" w:eastAsia="Aptos" w:hAnsi="Aptos" w:cs="Aptos"/>
          <w:color w:val="000000" w:themeColor="text1"/>
          <w:lang w:val="en-GB"/>
        </w:rPr>
      </w:pPr>
    </w:p>
    <w:p w14:paraId="7930C6C8" w14:textId="44805DF3" w:rsidR="34DBE119" w:rsidRPr="00A3246D" w:rsidRDefault="34DBE119" w:rsidP="34DBE119">
      <w:pPr>
        <w:rPr>
          <w:rFonts w:ascii="Aptos" w:eastAsia="Aptos" w:hAnsi="Aptos" w:cs="Aptos"/>
          <w:lang w:val="en-GB"/>
        </w:rPr>
      </w:pPr>
    </w:p>
    <w:sectPr w:rsidR="34DBE119" w:rsidRPr="00A3246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23BE0"/>
    <w:multiLevelType w:val="hybridMultilevel"/>
    <w:tmpl w:val="354048BC"/>
    <w:lvl w:ilvl="0" w:tplc="B1D4B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62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06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A4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3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96E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EB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4B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F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85AEE6"/>
    <w:rsid w:val="00A3246D"/>
    <w:rsid w:val="089FB4CC"/>
    <w:rsid w:val="24DDBDAA"/>
    <w:rsid w:val="2E85AEE6"/>
    <w:rsid w:val="34DBE119"/>
    <w:rsid w:val="3E907695"/>
    <w:rsid w:val="4684A19E"/>
    <w:rsid w:val="48D69F30"/>
    <w:rsid w:val="4FB62877"/>
    <w:rsid w:val="5F4E1EA9"/>
    <w:rsid w:val="6303FBDD"/>
    <w:rsid w:val="6D3D135C"/>
    <w:rsid w:val="713BE837"/>
    <w:rsid w:val="71BEA43A"/>
    <w:rsid w:val="7E249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AEE6"/>
  <w15:chartTrackingRefBased/>
  <w15:docId w15:val="{976848F1-AF02-46E7-A414-E64CDAC5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uiPriority w:val="9"/>
    <w:unhideWhenUsed/>
    <w:qFormat/>
    <w:rsid w:val="34DBE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34DBE119"/>
    <w:rPr>
      <w:color w:val="467886"/>
      <w:u w:val="single"/>
    </w:rPr>
  </w:style>
  <w:style w:type="paragraph" w:styleId="Prrafodelista">
    <w:name w:val="List Paragraph"/>
    <w:basedOn w:val="Normal"/>
    <w:uiPriority w:val="34"/>
    <w:qFormat/>
    <w:rsid w:val="34DBE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ilor.com/mx-es/productos/eyezen/eyezen-kids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lia.hernandez@another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ssilorluxottica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ssilorluxottica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ssilor.com/mx-es/productos/stelles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6d908-e5c6-4cb1-982b-5999035ca6b0">
      <Terms xmlns="http://schemas.microsoft.com/office/infopath/2007/PartnerControls"/>
    </lcf76f155ced4ddcb4097134ff3c332f>
    <TaxCatchAll xmlns="400ef886-8224-4b20-ad15-cfeee37f92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4E695DFD57B4885065D5FAF91AE91" ma:contentTypeVersion="16" ma:contentTypeDescription="Create a new document." ma:contentTypeScope="" ma:versionID="b6d7786d48dd462b48faca4eceff02df">
  <xsd:schema xmlns:xsd="http://www.w3.org/2001/XMLSchema" xmlns:xs="http://www.w3.org/2001/XMLSchema" xmlns:p="http://schemas.microsoft.com/office/2006/metadata/properties" xmlns:ns2="b1e6d908-e5c6-4cb1-982b-5999035ca6b0" xmlns:ns3="400ef886-8224-4b20-ad15-cfeee37f9264" targetNamespace="http://schemas.microsoft.com/office/2006/metadata/properties" ma:root="true" ma:fieldsID="0457ac2d7968c10b120fe409fe868c7f" ns2:_="" ns3:_="">
    <xsd:import namespace="b1e6d908-e5c6-4cb1-982b-5999035ca6b0"/>
    <xsd:import namespace="400ef886-8224-4b20-ad15-cfeee37f9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d908-e5c6-4cb1-982b-5999035c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f886-8224-4b20-ad15-cfeee37f92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af437e-e38b-4828-977e-7451f2a13288}" ma:internalName="TaxCatchAll" ma:showField="CatchAllData" ma:web="400ef886-8224-4b20-ad15-cfeee37f9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0BBC9-3045-4791-B251-1963CB87C107}">
  <ds:schemaRefs>
    <ds:schemaRef ds:uri="http://schemas.microsoft.com/office/2006/metadata/properties"/>
    <ds:schemaRef ds:uri="http://schemas.microsoft.com/office/infopath/2007/PartnerControls"/>
    <ds:schemaRef ds:uri="b1e6d908-e5c6-4cb1-982b-5999035ca6b0"/>
    <ds:schemaRef ds:uri="400ef886-8224-4b20-ad15-cfeee37f9264"/>
  </ds:schemaRefs>
</ds:datastoreItem>
</file>

<file path=customXml/itemProps2.xml><?xml version="1.0" encoding="utf-8"?>
<ds:datastoreItem xmlns:ds="http://schemas.openxmlformats.org/officeDocument/2006/customXml" ds:itemID="{6504DB96-77E1-409F-9FA5-169A1859D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1CDB2-FB42-4D3C-A730-EFC30BBF0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6d908-e5c6-4cb1-982b-5999035ca6b0"/>
    <ds:schemaRef ds:uri="400ef886-8224-4b20-ad15-cfeee37f9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593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Concepción Hernández Martinez</dc:creator>
  <cp:keywords/>
  <dc:description/>
  <cp:lastModifiedBy>Daniel Sanchez Arriaga</cp:lastModifiedBy>
  <cp:revision>2</cp:revision>
  <dcterms:created xsi:type="dcterms:W3CDTF">2025-08-25T22:33:00Z</dcterms:created>
  <dcterms:modified xsi:type="dcterms:W3CDTF">2025-08-26T22:03:00Z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0x0101005F84E695DFD57B4885065D5FAF91AE91</vt:lpwstr>
  </property>
  <property fmtid="{D5CDD505-2E9C-101B-9397-08002B2CF9AE}" pid="3" name="MediaServiceImageTags">
    <vt:lpwstr/>
  </property>
</Properties>
</file>